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Terms of Reference </w:t>
      </w:r>
    </w:p>
    <w:p w:rsidR="00000000" w:rsidDel="00000000" w:rsidP="00000000" w:rsidRDefault="00000000" w:rsidRPr="00000000" w14:paraId="00000002">
      <w:pPr>
        <w:rPr>
          <w:rFonts w:ascii="Poppins SemiBold" w:cs="Poppins SemiBold" w:eastAsia="Poppins SemiBold" w:hAnsi="Poppins SemiBold"/>
          <w:sz w:val="28"/>
          <w:szCs w:val="28"/>
        </w:rPr>
      </w:pPr>
      <w:r w:rsidDel="00000000" w:rsidR="00000000" w:rsidRPr="00000000">
        <w:rPr>
          <w:rFonts w:ascii="Poppins SemiBold" w:cs="Poppins SemiBold" w:eastAsia="Poppins SemiBold" w:hAnsi="Poppins SemiBold"/>
          <w:sz w:val="32"/>
          <w:szCs w:val="32"/>
          <w:u w:val="single"/>
          <w:rtl w:val="0"/>
        </w:rPr>
        <w:t xml:space="preserve">Query:</w:t>
      </w:r>
      <w:r w:rsidDel="00000000" w:rsidR="00000000" w:rsidRPr="00000000">
        <w:rPr>
          <w:rFonts w:ascii="Poppins SemiBold" w:cs="Poppins SemiBold" w:eastAsia="Poppins SemiBold" w:hAnsi="Poppins SemiBold"/>
          <w:sz w:val="32"/>
          <w:szCs w:val="32"/>
          <w:rtl w:val="0"/>
        </w:rPr>
        <w:t xml:space="preserve"> </w:t>
      </w:r>
      <w:r w:rsidDel="00000000" w:rsidR="00000000" w:rsidRPr="00000000">
        <w:rPr>
          <w:rFonts w:ascii="Poppins SemiBold" w:cs="Poppins SemiBold" w:eastAsia="Poppins SemiBold" w:hAnsi="Poppins SemiBold"/>
          <w:rtl w:val="0"/>
        </w:rPr>
        <w:t xml:space="preserve">Understanding the current state and sustainability of the Data Hubs in NE Nigeria</w:t>
      </w:r>
      <w:r w:rsidDel="00000000" w:rsidR="00000000" w:rsidRPr="00000000">
        <w:rPr>
          <w:rtl w:val="0"/>
        </w:rPr>
      </w:r>
    </w:p>
    <w:p w:rsidR="00000000" w:rsidDel="00000000" w:rsidP="00000000" w:rsidRDefault="00000000" w:rsidRPr="00000000" w14:paraId="00000003">
      <w:pPr>
        <w:rPr>
          <w:rFonts w:ascii="Bebas Neue" w:cs="Bebas Neue" w:eastAsia="Bebas Neue" w:hAnsi="Bebas Neue"/>
          <w:color w:val="434343"/>
          <w:sz w:val="26"/>
          <w:szCs w:val="26"/>
        </w:rPr>
      </w:pPr>
      <w:r w:rsidDel="00000000" w:rsidR="00000000" w:rsidRPr="00000000">
        <w:rPr>
          <w:rtl w:val="0"/>
        </w:rPr>
      </w:r>
    </w:p>
    <w:tbl>
      <w:tblPr>
        <w:tblStyle w:val="Table1"/>
        <w:tblW w:w="8970.0" w:type="dxa"/>
        <w:jc w:val="left"/>
        <w:tblInd w:w="30.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570"/>
        <w:gridCol w:w="6400"/>
        <w:tblGridChange w:id="0">
          <w:tblGrid>
            <w:gridCol w:w="2570"/>
            <w:gridCol w:w="6400"/>
          </w:tblGrid>
        </w:tblGridChange>
      </w:tblGrid>
      <w:tr>
        <w:trPr>
          <w:cantSplit w:val="0"/>
          <w:tblHeader w:val="0"/>
        </w:trPr>
        <w:tc>
          <w:tcPr>
            <w:shd w:fill="eaf1dd" w:val="clear"/>
            <w:tcMar>
              <w:top w:w="100.0" w:type="dxa"/>
              <w:left w:w="100.0" w:type="dxa"/>
              <w:bottom w:w="100.0" w:type="dxa"/>
              <w:right w:w="100.0" w:type="dxa"/>
            </w:tcMar>
          </w:tcPr>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line="240" w:lineRule="auto"/>
              <w:rPr>
                <w:rFonts w:ascii="Poppins Medium" w:cs="Poppins Medium" w:eastAsia="Poppins Medium" w:hAnsi="Poppins Medium"/>
                <w:color w:val="000000"/>
                <w:sz w:val="18"/>
                <w:szCs w:val="18"/>
              </w:rPr>
            </w:pPr>
            <w:r w:rsidDel="00000000" w:rsidR="00000000" w:rsidRPr="00000000">
              <w:rPr>
                <w:rFonts w:ascii="Poppins Medium" w:cs="Poppins Medium" w:eastAsia="Poppins Medium" w:hAnsi="Poppins Medium"/>
                <w:color w:val="000000"/>
                <w:sz w:val="18"/>
                <w:szCs w:val="18"/>
                <w:rtl w:val="0"/>
              </w:rPr>
              <w:t xml:space="preserve">Query submitted by:</w:t>
            </w:r>
          </w:p>
        </w:tc>
        <w:tc>
          <w:tcPr>
            <w:shd w:fill="auto" w:val="clear"/>
            <w:tcMar>
              <w:top w:w="100.0" w:type="dxa"/>
              <w:left w:w="100.0" w:type="dxa"/>
              <w:bottom w:w="100.0" w:type="dxa"/>
              <w:right w:w="100.0" w:type="dxa"/>
            </w:tcMar>
          </w:tcPr>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line="240" w:lineRule="auto"/>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18"/>
                <w:szCs w:val="18"/>
                <w:rtl w:val="0"/>
              </w:rPr>
              <w:t xml:space="preserve">Mikailu Ibrahim &amp; Ian Attfield</w:t>
            </w:r>
          </w:p>
        </w:tc>
      </w:tr>
      <w:tr>
        <w:trPr>
          <w:cantSplit w:val="0"/>
          <w:tblHeader w:val="0"/>
        </w:trPr>
        <w:tc>
          <w:tcPr>
            <w:shd w:fill="eaf1dd" w:val="clear"/>
            <w:tcMar>
              <w:top w:w="100.0" w:type="dxa"/>
              <w:left w:w="100.0" w:type="dxa"/>
              <w:bottom w:w="100.0" w:type="dxa"/>
              <w:right w:w="100.0" w:type="dxa"/>
            </w:tcMar>
          </w:tcPr>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line="240" w:lineRule="auto"/>
              <w:rPr>
                <w:rFonts w:ascii="Poppins Medium" w:cs="Poppins Medium" w:eastAsia="Poppins Medium" w:hAnsi="Poppins Medium"/>
                <w:color w:val="000000"/>
                <w:sz w:val="18"/>
                <w:szCs w:val="18"/>
              </w:rPr>
            </w:pPr>
            <w:r w:rsidDel="00000000" w:rsidR="00000000" w:rsidRPr="00000000">
              <w:rPr>
                <w:rFonts w:ascii="Poppins Medium" w:cs="Poppins Medium" w:eastAsia="Poppins Medium" w:hAnsi="Poppins Medium"/>
                <w:color w:val="000000"/>
                <w:sz w:val="18"/>
                <w:szCs w:val="18"/>
                <w:rtl w:val="0"/>
              </w:rPr>
              <w:t xml:space="preserve">Organization: </w:t>
            </w:r>
          </w:p>
        </w:tc>
        <w:tc>
          <w:tcPr>
            <w:shd w:fill="auto" w:val="clear"/>
            <w:tcMar>
              <w:top w:w="100.0" w:type="dxa"/>
              <w:left w:w="100.0" w:type="dxa"/>
              <w:bottom w:w="100.0" w:type="dxa"/>
              <w:right w:w="100.0" w:type="dxa"/>
            </w:tcMar>
          </w:tcPr>
          <w:p w:rsidR="00000000" w:rsidDel="00000000" w:rsidP="00000000" w:rsidRDefault="00000000" w:rsidRPr="00000000" w14:paraId="00000007">
            <w:pPr>
              <w:widowControl w:val="0"/>
              <w:pBdr>
                <w:top w:space="0" w:sz="0" w:val="nil"/>
                <w:left w:space="0" w:sz="0" w:val="nil"/>
                <w:bottom w:space="0" w:sz="0" w:val="nil"/>
                <w:right w:space="0" w:sz="0" w:val="nil"/>
                <w:between w:space="0" w:sz="0" w:val="nil"/>
              </w:pBdr>
              <w:spacing w:line="240" w:lineRule="auto"/>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18"/>
                <w:szCs w:val="18"/>
                <w:rtl w:val="0"/>
              </w:rPr>
              <w:t xml:space="preserve">FCDO Nigeria</w:t>
            </w:r>
          </w:p>
        </w:tc>
      </w:tr>
      <w:tr>
        <w:trPr>
          <w:cantSplit w:val="0"/>
          <w:tblHeader w:val="0"/>
        </w:trPr>
        <w:tc>
          <w:tcPr>
            <w:shd w:fill="eaf1dd" w:val="clear"/>
            <w:tcMar>
              <w:top w:w="100.0" w:type="dxa"/>
              <w:left w:w="100.0" w:type="dxa"/>
              <w:bottom w:w="100.0" w:type="dxa"/>
              <w:right w:w="100.0" w:type="dxa"/>
            </w:tcMar>
          </w:tcPr>
          <w:p w:rsidR="00000000" w:rsidDel="00000000" w:rsidP="00000000" w:rsidRDefault="00000000" w:rsidRPr="00000000" w14:paraId="00000008">
            <w:pPr>
              <w:widowControl w:val="0"/>
              <w:pBdr>
                <w:top w:space="0" w:sz="0" w:val="nil"/>
                <w:left w:space="0" w:sz="0" w:val="nil"/>
                <w:bottom w:space="0" w:sz="0" w:val="nil"/>
                <w:right w:space="0" w:sz="0" w:val="nil"/>
                <w:between w:space="0" w:sz="0" w:val="nil"/>
              </w:pBdr>
              <w:spacing w:line="240" w:lineRule="auto"/>
              <w:rPr>
                <w:rFonts w:ascii="Poppins Medium" w:cs="Poppins Medium" w:eastAsia="Poppins Medium" w:hAnsi="Poppins Medium"/>
                <w:color w:val="000000"/>
                <w:sz w:val="18"/>
                <w:szCs w:val="18"/>
              </w:rPr>
            </w:pPr>
            <w:r w:rsidDel="00000000" w:rsidR="00000000" w:rsidRPr="00000000">
              <w:rPr>
                <w:rFonts w:ascii="Poppins Medium" w:cs="Poppins Medium" w:eastAsia="Poppins Medium" w:hAnsi="Poppins Medium"/>
                <w:color w:val="000000"/>
                <w:sz w:val="18"/>
                <w:szCs w:val="18"/>
                <w:rtl w:val="0"/>
              </w:rPr>
              <w:t xml:space="preserve">In relation to (country): </w:t>
            </w:r>
          </w:p>
        </w:tc>
        <w:tc>
          <w:tcPr>
            <w:shd w:fill="auto"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18"/>
                <w:szCs w:val="18"/>
                <w:rtl w:val="0"/>
              </w:rPr>
              <w:t xml:space="preserve">Nigeria</w:t>
            </w:r>
          </w:p>
        </w:tc>
      </w:tr>
      <w:tr>
        <w:trPr>
          <w:cantSplit w:val="0"/>
          <w:tblHeader w:val="0"/>
        </w:trPr>
        <w:tc>
          <w:tcPr>
            <w:shd w:fill="eaf1dd"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rPr>
                <w:rFonts w:ascii="Poppins Medium" w:cs="Poppins Medium" w:eastAsia="Poppins Medium" w:hAnsi="Poppins Medium"/>
                <w:color w:val="000000"/>
                <w:sz w:val="18"/>
                <w:szCs w:val="18"/>
              </w:rPr>
            </w:pPr>
            <w:r w:rsidDel="00000000" w:rsidR="00000000" w:rsidRPr="00000000">
              <w:rPr>
                <w:rFonts w:ascii="Poppins Medium" w:cs="Poppins Medium" w:eastAsia="Poppins Medium" w:hAnsi="Poppins Medium"/>
                <w:color w:val="000000"/>
                <w:sz w:val="18"/>
                <w:szCs w:val="18"/>
                <w:rtl w:val="0"/>
              </w:rPr>
              <w:t xml:space="preserve">Service requested:</w:t>
            </w:r>
          </w:p>
        </w:tc>
        <w:tc>
          <w:tcPr>
            <w:shd w:fill="auto"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18"/>
                <w:szCs w:val="18"/>
                <w:rtl w:val="0"/>
              </w:rPr>
              <w:t xml:space="preserve">Literature Review and KII’s</w:t>
            </w:r>
          </w:p>
        </w:tc>
      </w:tr>
      <w:tr>
        <w:trPr>
          <w:cantSplit w:val="0"/>
          <w:tblHeader w:val="0"/>
        </w:trPr>
        <w:tc>
          <w:tcPr>
            <w:shd w:fill="eaf1dd"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Poppins Medium" w:cs="Poppins Medium" w:eastAsia="Poppins Medium" w:hAnsi="Poppins Medium"/>
                <w:color w:val="000000"/>
                <w:sz w:val="18"/>
                <w:szCs w:val="18"/>
              </w:rPr>
            </w:pPr>
            <w:r w:rsidDel="00000000" w:rsidR="00000000" w:rsidRPr="00000000">
              <w:rPr>
                <w:rFonts w:ascii="Poppins Medium" w:cs="Poppins Medium" w:eastAsia="Poppins Medium" w:hAnsi="Poppins Medium"/>
                <w:color w:val="000000"/>
                <w:sz w:val="18"/>
                <w:szCs w:val="18"/>
                <w:rtl w:val="0"/>
              </w:rPr>
              <w:t xml:space="preserve">Date Submitted:</w:t>
            </w:r>
          </w:p>
        </w:tc>
        <w:tc>
          <w:tcPr>
            <w:shd w:fill="auto"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rFonts w:ascii="Poppins Light" w:cs="Poppins Light" w:eastAsia="Poppins Light" w:hAnsi="Poppins Light"/>
                <w:sz w:val="18"/>
                <w:szCs w:val="18"/>
              </w:rPr>
            </w:pPr>
            <w:r w:rsidDel="00000000" w:rsidR="00000000" w:rsidRPr="00000000">
              <w:rPr>
                <w:rFonts w:ascii="Poppins Light" w:cs="Poppins Light" w:eastAsia="Poppins Light" w:hAnsi="Poppins Light"/>
                <w:sz w:val="18"/>
                <w:szCs w:val="18"/>
                <w:rtl w:val="0"/>
              </w:rPr>
              <w:t xml:space="preserve">July 2024</w:t>
            </w:r>
          </w:p>
        </w:tc>
      </w:tr>
    </w:tbl>
    <w:p w:rsidR="00000000" w:rsidDel="00000000" w:rsidP="00000000" w:rsidRDefault="00000000" w:rsidRPr="00000000" w14:paraId="0000000E">
      <w:pPr>
        <w:ind w:left="720" w:firstLine="0"/>
        <w:rPr>
          <w:rFonts w:ascii="Bebas Neue" w:cs="Bebas Neue" w:eastAsia="Bebas Neue" w:hAnsi="Bebas Neue"/>
          <w:color w:val="2eab5e"/>
          <w:sz w:val="32"/>
          <w:szCs w:val="32"/>
        </w:rPr>
      </w:pPr>
      <w:r w:rsidDel="00000000" w:rsidR="00000000" w:rsidRPr="00000000">
        <w:rPr>
          <w:rtl w:val="0"/>
        </w:rPr>
      </w:r>
    </w:p>
    <w:p w:rsidR="00000000" w:rsidDel="00000000" w:rsidP="00000000" w:rsidRDefault="00000000" w:rsidRPr="00000000" w14:paraId="0000000F">
      <w:pPr>
        <w:numPr>
          <w:ilvl w:val="0"/>
          <w:numId w:val="7"/>
        </w:numPr>
        <w:ind w:left="720" w:hanging="360"/>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background</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Access to quality and accurate data ensures that investment is thematically targeted and allocated to areas of greatest need. Targeted support and investment from decision-makers and policymakers, in many crisis settings education authorities do not have clarity on the extent of education challenges, they might not be aware of the numbers of children affected by crisis, the period that children have been out of school etc.  Effective data management system for education decision-making such as planning, emergency preparedness and education resourcing is critical. Data on learners, educators, school infrastructure and facilities must be systematically collected and possess the quality required for them to be useful by all those that require them for decision-making at the community, local, State and Federal spheres of education planning and investment.</w:t>
      </w:r>
      <w:r w:rsidDel="00000000" w:rsidR="00000000" w:rsidRPr="00000000">
        <w:rPr>
          <w:rFonts w:ascii="Quattrocento Sans" w:cs="Quattrocento Sans" w:eastAsia="Quattrocento Sans" w:hAnsi="Quattrocento Sans"/>
          <w:b w:val="0"/>
          <w:i w:val="0"/>
          <w:smallCaps w:val="0"/>
          <w:strike w:val="0"/>
          <w:color w:val="000000"/>
          <w:sz w:val="18"/>
          <w:szCs w:val="18"/>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In Nigeria, many initiatives have been tried to improve data.  Data Hubs were established across different states to ensure a systematic, reliable and regular collection of quality data that can be accessed and used for education planning and response to crisis. The data hubs include setting up an infrastructure for data housing: office space with the appropriate technology, competent staff, and clear guidelines concerning data collection, from learning centres, accessibility to users and feedback to data providers.  </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The USAID/FCDO Funded Addressing Education in North-East Nigeria (AENN) programme aimed to address displaced children and youth in conflict-affected Yobe and Borno states to recover lost learning.  The programme also established five state and local-level data hubs to support government capacity to collect, analyze, and utilize education data, training local managers in planning education in a conflict zone.  The programme worked with Yobe SUBEB to modernize the way data is collected at the state and LGEA levels. AENN deployed data-hubs in sixteen (16) of the seventeen (17) local government education authorities in Yobe State.  Following the end of the USAID project, much of the work is now being continued in the </w:t>
      </w:r>
      <w:hyperlink r:id="rId7">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Opportunities to Learn</w:t>
        </w:r>
      </w:hyperlink>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programme launched in January 2022, led by IRC.  The programme also established five state and local-level data hubs to support government capacity to collect, analyze, and utilize education data, training local managers in planning education in a conflict zone.  Also, by providing ICT hardware, software and renewable energy equipment to minimize future recurrent costs that may threaten sustainability.</w:t>
      </w:r>
    </w:p>
    <w:p w:rsidR="00000000" w:rsidDel="00000000" w:rsidP="00000000" w:rsidRDefault="00000000" w:rsidRPr="00000000" w14:paraId="00000015">
      <w:pPr>
        <w:pStyle w:val="Heading2"/>
        <w:shd w:fill="ffffff" w:val="clear"/>
        <w:spacing w:after="0" w:before="0" w:lineRule="auto"/>
        <w:ind w:left="360" w:firstLine="0"/>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6">
      <w:pPr>
        <w:pStyle w:val="Heading2"/>
        <w:shd w:fill="ffffff" w:val="clear"/>
        <w:spacing w:after="0" w:before="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Since the closure of the AENN programme, 3 years ago, there has been sustained engagement and activity in monitoring and supporting education provision by government and development partners.  In addition to Data hubs, there has been continued evolution and attempts to strengthen Education Management Information Systems (EMIS) nationally.  As part of the large federally mandated National EMIS (NEMIS) and enhance digital data collections flows between State Universal Basic Education Board (SUBEB), LGEAs and schools, using UNICEF supported Edutrack and TMIS (teacher data) systems.</w:t>
      </w:r>
    </w:p>
    <w:p w:rsidR="00000000" w:rsidDel="00000000" w:rsidP="00000000" w:rsidRDefault="00000000" w:rsidRPr="00000000" w14:paraId="00000017">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8">
      <w:pPr>
        <w:pStyle w:val="Heading2"/>
        <w:shd w:fill="ffffff" w:val="clear"/>
        <w:spacing w:after="0" w:before="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Following 2023 political elections there is now a desire to have a coordinated, verifiable, and authentic data on all aspects of the education sector in Nigeria.  The approval of an extensive education census will improve the education data systems throughout Nigeria. The Federal Roadmap for Education and associated DOTS agenda (an acronym representing: Data Repository, Out-of-School Children Education, Teacher Training &amp; Development, and Skill Development &amp; Acquisition) seek to track and support individual children.  </w:t>
      </w:r>
    </w:p>
    <w:p w:rsidR="00000000" w:rsidDel="00000000" w:rsidP="00000000" w:rsidRDefault="00000000" w:rsidRPr="00000000" w14:paraId="00000019">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A">
      <w:pPr>
        <w:pStyle w:val="Heading2"/>
        <w:shd w:fill="ffffff" w:val="clear"/>
        <w:spacing w:after="0" w:before="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NE Nigeria, further mass movement of IDPs, and host communities may lead to dynamic challenges in NE Nigeria and broader parts of NE Nigeria due to insecurity and risk of child abduction and violence.   Education Can’t Wait (ECW) is currently initiating new funding windows:  a 2</w:t>
      </w:r>
      <w:r w:rsidDel="00000000" w:rsidR="00000000" w:rsidRPr="00000000">
        <w:rPr>
          <w:rFonts w:ascii="Poppins" w:cs="Poppins" w:eastAsia="Poppins" w:hAnsi="Poppins"/>
          <w:sz w:val="20"/>
          <w:szCs w:val="20"/>
          <w:vertAlign w:val="superscript"/>
          <w:rtl w:val="0"/>
        </w:rPr>
        <w:t xml:space="preserve">nd</w:t>
      </w:r>
      <w:r w:rsidDel="00000000" w:rsidR="00000000" w:rsidRPr="00000000">
        <w:rPr>
          <w:rFonts w:ascii="Poppins" w:cs="Poppins" w:eastAsia="Poppins" w:hAnsi="Poppins"/>
          <w:sz w:val="20"/>
          <w:szCs w:val="20"/>
          <w:rtl w:val="0"/>
        </w:rPr>
        <w:t xml:space="preserve">  ECW Multi-Year Resilience Programme (MYRP) in NE Nigeria and a First Emergency Response (FER) in NW Nigeria in response to continued challenging environment to provision of basic education, inhibited by both physical and food insecurity. Understanding more on the impact and sustainability of the data hubs could reveal that reinvestment into the Data Hubs could emerge as a critical formula in improving Education in Nigeria, for education in conflict settings contexts.</w:t>
      </w:r>
    </w:p>
    <w:p w:rsidR="00000000" w:rsidDel="00000000" w:rsidP="00000000" w:rsidRDefault="00000000" w:rsidRPr="00000000" w14:paraId="0000001B">
      <w:pPr>
        <w:pStyle w:val="Heading2"/>
        <w:shd w:fill="ffffff" w:val="clear"/>
        <w:spacing w:after="0" w:before="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1C">
      <w:pPr>
        <w:numPr>
          <w:ilvl w:val="0"/>
          <w:numId w:val="7"/>
        </w:numPr>
        <w:ind w:left="720" w:hanging="360"/>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Scope of work</w:t>
      </w:r>
    </w:p>
    <w:p w:rsidR="00000000" w:rsidDel="00000000" w:rsidP="00000000" w:rsidRDefault="00000000" w:rsidRPr="00000000" w14:paraId="0000001D">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The findings of this assignment aim to inform and feed into decision points within the Education Can’t Wait (ECW) operations in Nigeria, and broader government/development partner engagement on education data management systems.</w:t>
      </w:r>
    </w:p>
    <w:p w:rsidR="00000000" w:rsidDel="00000000" w:rsidP="00000000" w:rsidRDefault="00000000" w:rsidRPr="00000000" w14:paraId="0000001E">
      <w:pPr>
        <w:ind w:left="360" w:firstLine="0"/>
        <w:rPr>
          <w:rFonts w:ascii="Aptos" w:cs="Aptos" w:eastAsia="Aptos" w:hAnsi="Aptos"/>
        </w:rPr>
      </w:pPr>
      <w:r w:rsidDel="00000000" w:rsidR="00000000" w:rsidRPr="00000000">
        <w:rPr>
          <w:rtl w:val="0"/>
        </w:rPr>
      </w:r>
    </w:p>
    <w:p w:rsidR="00000000" w:rsidDel="00000000" w:rsidP="00000000" w:rsidRDefault="00000000" w:rsidRPr="00000000" w14:paraId="0000001F">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In addition to a comprehensive literature (and document) review, this assignment would entail stakeholder engagement and verification visits to Borno and Yobe States and two LGEAs in each State and conduct in-depth interviews of at least three officials that are connected with the data hubs at the State and LGEA, as well as the Director of NEMIS and consultants or advisors engaged in supporting NEMIS.   </w:t>
      </w:r>
    </w:p>
    <w:p w:rsidR="00000000" w:rsidDel="00000000" w:rsidP="00000000" w:rsidRDefault="00000000" w:rsidRPr="00000000" w14:paraId="00000020">
      <w:pPr>
        <w:spacing w:line="240" w:lineRule="auto"/>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2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It seeks to further understand if there is increased coherence and access and at what cost and impact the Data Hubs are operating at.   Also, engagement with active ECW’s global advocacy for education in emergencies and protracted crisis (EiEPC) partners such as IRC, UNICEF, EIEWG members and State/LGEA officials should be included.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Ultimately the request findings should aim to interrogate, assess and understand current state and the sustainability of these Data Hubs. </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1"/>
          <w:i w:val="0"/>
          <w:smallCaps w:val="0"/>
          <w:strike w:val="0"/>
          <w:color w:val="000000"/>
          <w:sz w:val="20"/>
          <w:szCs w:val="20"/>
          <w:u w:val="none"/>
          <w:shd w:fill="auto" w:val="clear"/>
          <w:vertAlign w:val="baseline"/>
          <w:rtl w:val="0"/>
        </w:rPr>
        <w:t xml:space="preserve">The main research questions to be answered in this request are: </w:t>
      </w:r>
    </w:p>
    <w:p w:rsidR="00000000" w:rsidDel="00000000" w:rsidP="00000000" w:rsidRDefault="00000000" w:rsidRPr="00000000" w14:paraId="0000002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Since the closure of the AENN programme in 2021, to what extend did the Data Hubs established in LGEAs in Borno and Yobe State remain functional and staffed, fulfilling their role to greatly enhance data flows and use for education decision making?  How sustainable in practice were they and how did they evolve and adapt to shifts in context, demand and additional support provision?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To what extent did Education Data Hubs integrate and support broader humanitarian data tracking and support systems with government and EiEWG/development partners in NE Nigeria.</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What conclusions can be drawn on the utility and potential for LGEA focused Data hubs to enhance education data systems and humanitarian data flows in Northern Nigeria, that have varying insecurity and education management capacity gaps.  What are the tradeoffs in focusing education data management capacity and resources at individual, school, LGEA and State level:- how could Data Hubs be adapted to fulfil a major role in future education data systems and is LGEA the optimal location to house them?</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The scope of the assignment will focus on Nigeria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with wider relevant for other EIEPC contexts.</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Bebas Neue" w:cs="Bebas Neue" w:eastAsia="Bebas Neue" w:hAnsi="Bebas Neue"/>
          <w:b w:val="0"/>
          <w:i w:val="0"/>
          <w:smallCaps w:val="0"/>
          <w:strike w:val="0"/>
          <w:color w:val="2eab5e"/>
          <w:sz w:val="32"/>
          <w:szCs w:val="32"/>
          <w:u w:val="none"/>
          <w:shd w:fill="auto" w:val="clear"/>
          <w:vertAlign w:val="baseline"/>
        </w:rPr>
      </w:pPr>
      <w:r w:rsidDel="00000000" w:rsidR="00000000" w:rsidRPr="00000000">
        <w:rPr>
          <w:rFonts w:ascii="Bebas Neue" w:cs="Bebas Neue" w:eastAsia="Bebas Neue" w:hAnsi="Bebas Neue"/>
          <w:b w:val="0"/>
          <w:i w:val="0"/>
          <w:smallCaps w:val="0"/>
          <w:strike w:val="0"/>
          <w:color w:val="2eab5e"/>
          <w:sz w:val="32"/>
          <w:szCs w:val="32"/>
          <w:u w:val="none"/>
          <w:shd w:fill="auto" w:val="clear"/>
          <w:vertAlign w:val="baseline"/>
          <w:rtl w:val="0"/>
        </w:rPr>
        <w:t xml:space="preserve">Methodology</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Published literature, desk review of available literature, project reports, evaluations, impact reports, government reports and various relevant literature</w:t>
      </w:r>
    </w:p>
    <w:p w:rsidR="00000000" w:rsidDel="00000000" w:rsidP="00000000" w:rsidRDefault="00000000" w:rsidRPr="00000000" w14:paraId="0000002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Primary data collection and Key Informant Interviews with key stakeholders in 2 LGEAs and head offices in Yobe, Borno States, and various national offices and international actors.</w:t>
      </w:r>
    </w:p>
    <w:p w:rsidR="00000000" w:rsidDel="00000000" w:rsidP="00000000" w:rsidRDefault="00000000" w:rsidRPr="00000000" w14:paraId="0000002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Primary data collection in the key states Yobe and Borno.</w:t>
      </w:r>
    </w:p>
    <w:p w:rsidR="00000000" w:rsidDel="00000000" w:rsidP="00000000" w:rsidRDefault="00000000" w:rsidRPr="00000000" w14:paraId="000000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Purposive selection of two LGEAs based on safety verification protocols, using  a comprehensive  checklist</w:t>
      </w:r>
    </w:p>
    <w:tbl>
      <w:tblPr>
        <w:tblStyle w:val="Table2"/>
        <w:tblW w:w="8810.0" w:type="dxa"/>
        <w:jc w:val="left"/>
        <w:tblInd w:w="216.0" w:type="dxa"/>
        <w:tblLayout w:type="fixed"/>
        <w:tblLook w:val="0400"/>
      </w:tblPr>
      <w:tblGrid>
        <w:gridCol w:w="8810"/>
        <w:tblGridChange w:id="0">
          <w:tblGrid>
            <w:gridCol w:w="8810"/>
          </w:tblGrid>
        </w:tblGridChange>
      </w:tblGrid>
      <w:tr>
        <w:trPr>
          <w:cantSplit w:val="0"/>
          <w:tblHeader w:val="0"/>
        </w:trPr>
        <w:tc>
          <w:tcPr>
            <w:shd w:fill="auto" w:val="clear"/>
          </w:tcPr>
          <w:p w:rsidR="00000000" w:rsidDel="00000000" w:rsidP="00000000" w:rsidRDefault="00000000" w:rsidRPr="00000000" w14:paraId="00000030">
            <w:pPr>
              <w:spacing w:line="240" w:lineRule="auto"/>
              <w:rPr>
                <w:rFonts w:ascii="Poppins Light" w:cs="Poppins Light" w:eastAsia="Poppins Light" w:hAnsi="Poppins Light"/>
                <w:sz w:val="18"/>
                <w:szCs w:val="18"/>
              </w:rPr>
            </w:pPr>
            <w:r w:rsidDel="00000000" w:rsidR="00000000" w:rsidRPr="00000000">
              <w:rPr>
                <w:rtl w:val="0"/>
              </w:rPr>
            </w:r>
          </w:p>
        </w:tc>
      </w:tr>
    </w:tbl>
    <w:p w:rsidR="00000000" w:rsidDel="00000000" w:rsidP="00000000" w:rsidRDefault="00000000" w:rsidRPr="00000000" w14:paraId="00000031">
      <w:pPr>
        <w:numPr>
          <w:ilvl w:val="0"/>
          <w:numId w:val="8"/>
        </w:numPr>
        <w:ind w:left="720" w:hanging="360"/>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Expected Outputs &amp; Deliverables </w:t>
      </w:r>
    </w:p>
    <w:p w:rsidR="00000000" w:rsidDel="00000000" w:rsidP="00000000" w:rsidRDefault="00000000" w:rsidRPr="00000000" w14:paraId="000000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 20-25 page report, including a two page Executive Summary, with additional material annexed.</w:t>
      </w:r>
    </w:p>
    <w:p w:rsidR="00000000" w:rsidDel="00000000" w:rsidP="00000000" w:rsidRDefault="00000000" w:rsidRPr="00000000" w14:paraId="0000003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A 10 – 15 slide pack, including infographics, designed to present findings to an informed, but non-expert audience.</w:t>
      </w:r>
    </w:p>
    <w:p w:rsidR="00000000" w:rsidDel="00000000" w:rsidP="00000000" w:rsidRDefault="00000000" w:rsidRPr="00000000" w14:paraId="000000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Final deliverable would be for internal consumption and to input into upcoming programming design.</w:t>
      </w:r>
    </w:p>
    <w:tbl>
      <w:tblPr>
        <w:tblStyle w:val="Table3"/>
        <w:tblW w:w="8810.0" w:type="dxa"/>
        <w:jc w:val="left"/>
        <w:tblInd w:w="216.0" w:type="dxa"/>
        <w:tblLayout w:type="fixed"/>
        <w:tblLook w:val="0400"/>
      </w:tblPr>
      <w:tblGrid>
        <w:gridCol w:w="8810"/>
        <w:tblGridChange w:id="0">
          <w:tblGrid>
            <w:gridCol w:w="8810"/>
          </w:tblGrid>
        </w:tblGridChange>
      </w:tblGrid>
      <w:tr>
        <w:trPr>
          <w:cantSplit w:val="0"/>
          <w:tblHeader w:val="0"/>
        </w:trPr>
        <w:tc>
          <w:tcPr>
            <w:shd w:fill="auto" w:val="clear"/>
          </w:tcPr>
          <w:p w:rsidR="00000000" w:rsidDel="00000000" w:rsidP="00000000" w:rsidRDefault="00000000" w:rsidRPr="00000000" w14:paraId="00000035">
            <w:pPr>
              <w:spacing w:line="240" w:lineRule="auto"/>
              <w:rPr>
                <w:rFonts w:ascii="Poppins Light" w:cs="Poppins Light" w:eastAsia="Poppins Light" w:hAnsi="Poppins Light"/>
                <w:sz w:val="18"/>
                <w:szCs w:val="18"/>
              </w:rPr>
            </w:pPr>
            <w:r w:rsidDel="00000000" w:rsidR="00000000" w:rsidRPr="00000000">
              <w:rPr>
                <w:rtl w:val="0"/>
              </w:rPr>
            </w:r>
          </w:p>
        </w:tc>
      </w:tr>
    </w:tbl>
    <w:p w:rsidR="00000000" w:rsidDel="00000000" w:rsidP="00000000" w:rsidRDefault="00000000" w:rsidRPr="00000000" w14:paraId="00000036">
      <w:pPr>
        <w:numPr>
          <w:ilvl w:val="0"/>
          <w:numId w:val="8"/>
        </w:numPr>
        <w:ind w:left="720" w:hanging="360"/>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Duration of assignment </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Output to be delivered by </w:t>
      </w:r>
      <w:r w:rsidDel="00000000" w:rsidR="00000000" w:rsidRPr="00000000">
        <w:rPr>
          <w:rFonts w:ascii="Poppins" w:cs="Poppins" w:eastAsia="Poppins" w:hAnsi="Poppins"/>
          <w:b w:val="0"/>
          <w:i w:val="0"/>
          <w:smallCaps w:val="0"/>
          <w:strike w:val="0"/>
          <w:color w:val="000000"/>
          <w:sz w:val="20"/>
          <w:szCs w:val="20"/>
          <w:u w:val="none"/>
          <w:shd w:fill="ffc000" w:val="clear"/>
          <w:vertAlign w:val="baseline"/>
          <w:rtl w:val="0"/>
        </w:rPr>
        <w:t xml:space="preserve">(45)</w:t>
      </w: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 working days after TORs have been approved.</w:t>
      </w:r>
    </w:p>
    <w:p w:rsidR="00000000" w:rsidDel="00000000" w:rsidP="00000000" w:rsidRDefault="00000000" w:rsidRPr="00000000" w14:paraId="00000038">
      <w:pPr>
        <w:rPr>
          <w:rFonts w:ascii="Poppins" w:cs="Poppins" w:eastAsia="Poppins" w:hAnsi="Poppins"/>
          <w:sz w:val="20"/>
          <w:szCs w:val="20"/>
        </w:rPr>
      </w:pPr>
      <w:r w:rsidDel="00000000" w:rsidR="00000000" w:rsidRPr="00000000">
        <w:rPr>
          <w:rtl w:val="0"/>
        </w:rPr>
      </w:r>
    </w:p>
    <w:p w:rsidR="00000000" w:rsidDel="00000000" w:rsidP="00000000" w:rsidRDefault="00000000" w:rsidRPr="00000000" w14:paraId="00000039">
      <w:pPr>
        <w:numPr>
          <w:ilvl w:val="0"/>
          <w:numId w:val="8"/>
        </w:numPr>
        <w:ind w:left="720" w:hanging="360"/>
        <w:rPr>
          <w:rFonts w:ascii="Bebas Neue" w:cs="Bebas Neue" w:eastAsia="Bebas Neue" w:hAnsi="Bebas Neue"/>
          <w:i w:val="1"/>
          <w:color w:val="2eab5e"/>
          <w:sz w:val="32"/>
          <w:szCs w:val="32"/>
        </w:rPr>
      </w:pPr>
      <w:r w:rsidDel="00000000" w:rsidR="00000000" w:rsidRPr="00000000">
        <w:rPr>
          <w:rFonts w:ascii="Bebas Neue" w:cs="Bebas Neue" w:eastAsia="Bebas Neue" w:hAnsi="Bebas Neue"/>
          <w:color w:val="2eab5e"/>
          <w:sz w:val="32"/>
          <w:szCs w:val="32"/>
          <w:rtl w:val="0"/>
        </w:rPr>
        <w:t xml:space="preserve">Response Team Composition</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Leading consultant to have experience in (a) Data Systems in Education;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(b) evidence synthesis and desk reviews, and (c) data analysis</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Common Heritage Foundation to collect supporting primary data in the 2 states;</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ERICC Regional Research Director to coordinate the work between the Lead consultant and CHF consultants.</w:t>
      </w:r>
    </w:p>
    <w:tbl>
      <w:tblPr>
        <w:tblStyle w:val="Table4"/>
        <w:tblW w:w="8730.0" w:type="dxa"/>
        <w:jc w:val="left"/>
        <w:tblInd w:w="108.0" w:type="dxa"/>
        <w:tblLayout w:type="fixed"/>
        <w:tblLook w:val="0400"/>
      </w:tblPr>
      <w:tblGrid>
        <w:gridCol w:w="3325"/>
        <w:gridCol w:w="5405"/>
        <w:tblGridChange w:id="0">
          <w:tblGrid>
            <w:gridCol w:w="3325"/>
            <w:gridCol w:w="5405"/>
          </w:tblGrid>
        </w:tblGridChange>
      </w:tblGrid>
      <w:tr>
        <w:trPr>
          <w:cantSplit w:val="0"/>
          <w:tblHeader w:val="0"/>
        </w:trPr>
        <w:tc>
          <w:tcPr>
            <w:shd w:fill="auto" w:val="clear"/>
          </w:tcPr>
          <w:p w:rsidR="00000000" w:rsidDel="00000000" w:rsidP="00000000" w:rsidRDefault="00000000" w:rsidRPr="00000000" w14:paraId="0000003E">
            <w:pPr>
              <w:spacing w:line="240" w:lineRule="auto"/>
              <w:rPr>
                <w:rFonts w:ascii="Poppins" w:cs="Poppins" w:eastAsia="Poppins" w:hAnsi="Poppins"/>
                <w:color w:val="986957"/>
                <w:sz w:val="18"/>
                <w:szCs w:val="18"/>
              </w:rPr>
            </w:pPr>
            <w:r w:rsidDel="00000000" w:rsidR="00000000" w:rsidRPr="00000000">
              <w:rPr>
                <w:rtl w:val="0"/>
              </w:rPr>
            </w:r>
          </w:p>
        </w:tc>
        <w:tc>
          <w:tcPr>
            <w:shd w:fill="auto" w:val="clear"/>
          </w:tcPr>
          <w:p w:rsidR="00000000" w:rsidDel="00000000" w:rsidP="00000000" w:rsidRDefault="00000000" w:rsidRPr="00000000" w14:paraId="0000003F">
            <w:pPr>
              <w:spacing w:line="240" w:lineRule="auto"/>
              <w:rPr>
                <w:rFonts w:ascii="Poppins Light" w:cs="Poppins Light" w:eastAsia="Poppins Light" w:hAnsi="Poppins Light"/>
                <w:color w:val="000000"/>
                <w:sz w:val="18"/>
                <w:szCs w:val="18"/>
              </w:rPr>
            </w:pPr>
            <w:r w:rsidDel="00000000" w:rsidR="00000000" w:rsidRPr="00000000">
              <w:rPr>
                <w:rtl w:val="0"/>
              </w:rPr>
            </w:r>
          </w:p>
        </w:tc>
      </w:tr>
    </w:tbl>
    <w:p w:rsidR="00000000" w:rsidDel="00000000" w:rsidP="00000000" w:rsidRDefault="00000000" w:rsidRPr="00000000" w14:paraId="00000040">
      <w:pPr>
        <w:numPr>
          <w:ilvl w:val="0"/>
          <w:numId w:val="8"/>
        </w:numPr>
        <w:ind w:left="720" w:hanging="360"/>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Costing</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Medium-term assignment – 30 working day Request</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Poppins Light" w:cs="Poppins Light" w:eastAsia="Poppins Light" w:hAnsi="Poppins Light"/>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3">
      <w:pPr>
        <w:numPr>
          <w:ilvl w:val="0"/>
          <w:numId w:val="8"/>
        </w:numPr>
        <w:ind w:left="720" w:hanging="360"/>
        <w:rPr>
          <w:rFonts w:ascii="Bebas Neue" w:cs="Bebas Neue" w:eastAsia="Bebas Neue" w:hAnsi="Bebas Neue"/>
          <w:color w:val="2eab5e"/>
          <w:sz w:val="32"/>
          <w:szCs w:val="32"/>
        </w:rPr>
      </w:pPr>
      <w:r w:rsidDel="00000000" w:rsidR="00000000" w:rsidRPr="00000000">
        <w:rPr>
          <w:rFonts w:ascii="Bebas Neue" w:cs="Bebas Neue" w:eastAsia="Bebas Neue" w:hAnsi="Bebas Neue"/>
          <w:color w:val="2eab5e"/>
          <w:sz w:val="32"/>
          <w:szCs w:val="32"/>
          <w:rtl w:val="0"/>
        </w:rPr>
        <w:t xml:space="preserve">Quality assurance and Approval</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This ToR will be written by Helpdesk Lead: Selamawit Alemayehu and reviewed by Technical and Research leads: Jeffrey Dow, Aime Kouman and Oladele Akogun and reviewed and approved by FCDO. </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The final output deliverable will be Quality Assured by IRC Technical leads and final approval by FCDO.</w:t>
      </w:r>
    </w:p>
    <w:p w:rsidR="00000000" w:rsidDel="00000000" w:rsidP="00000000" w:rsidRDefault="00000000" w:rsidRPr="00000000" w14:paraId="00000046">
      <w:pPr>
        <w:spacing w:line="240" w:lineRule="auto"/>
        <w:rPr>
          <w:rFonts w:ascii="Poppins SemiBold" w:cs="Poppins SemiBold" w:eastAsia="Poppins SemiBold" w:hAnsi="Poppins SemiBold"/>
          <w:sz w:val="32"/>
          <w:szCs w:val="32"/>
        </w:rPr>
      </w:pPr>
      <w:r w:rsidDel="00000000" w:rsidR="00000000" w:rsidRPr="00000000">
        <w:rPr>
          <w:rFonts w:ascii="Poppins Light" w:cs="Poppins Light" w:eastAsia="Poppins Light" w:hAnsi="Poppins Light"/>
          <w:sz w:val="18"/>
          <w:szCs w:val="18"/>
          <w:rtl w:val="0"/>
        </w:rPr>
        <w:t xml:space="preserve">                                                                                                                                                                                                                                                                                                                                                                                                                                                                                                                                                                                                                                                                                                                                                                                                                                                                                                                                                                                                    </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pto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bas Neue">
    <w:embedRegular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Quattrocento Sans">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 w:name="Noto Sans Symbols">
    <w:embedRegular w:fontKey="{00000000-0000-0000-0000-000000000000}" r:id="rId18" w:subsetted="0"/>
    <w:embedBold w:fontKey="{00000000-0000-0000-0000-000000000000}" r:id="rId19" w:subsetted="0"/>
  </w:font>
  <w:font w:name="Poppins SemiBold">
    <w:embedRegular w:fontKey="{00000000-0000-0000-0000-000000000000}" r:id="rId20" w:subsetted="0"/>
    <w:embedBold w:fontKey="{00000000-0000-0000-0000-000000000000}" r:id="rId21" w:subsetted="0"/>
    <w:embedItalic w:fontKey="{00000000-0000-0000-0000-000000000000}" r:id="rId22" w:subsetted="0"/>
    <w:embedBoldItalic w:fontKey="{00000000-0000-0000-0000-000000000000}" r:id="rId2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id="1717887951" name=""/>
              <a:graphic>
                <a:graphicData uri="http://schemas.microsoft.com/office/word/2010/wordprocessingShape">
                  <wps:wsp>
                    <wps:cNvSpPr/>
                    <wps:cNvPr id="6" name="Shape 6"/>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id="1717887951" name="image6.png"/>
              <a:graphic>
                <a:graphicData uri="http://schemas.openxmlformats.org/drawingml/2006/picture">
                  <pic:pic>
                    <pic:nvPicPr>
                      <pic:cNvPr descr="OFFICIAL"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id="1717887947"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id="1717887947" name="image2.png"/>
              <a:graphic>
                <a:graphicData uri="http://schemas.openxmlformats.org/drawingml/2006/picture">
                  <pic:pic>
                    <pic:nvPicPr>
                      <pic:cNvPr descr="OFFICIAL"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Fonts w:ascii="Poppins" w:cs="Poppins" w:eastAsia="Poppins" w:hAnsi="Poppins"/>
        <w:b w:val="0"/>
        <w:i w:val="0"/>
        <w:smallCaps w:val="0"/>
        <w:strike w:val="0"/>
        <w:color w:val="000000"/>
        <w:sz w:val="18"/>
        <w:szCs w:val="18"/>
        <w:u w:val="none"/>
        <w:shd w:fill="auto" w:val="clear"/>
        <w:vertAlign w:val="baseline"/>
        <w:rtl w:val="0"/>
      </w:rPr>
      <w:t xml:space="preserve">ToR: FCDO Nigeria Query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id="1717887952" name=""/>
              <a:graphic>
                <a:graphicData uri="http://schemas.microsoft.com/office/word/2010/wordprocessingShape">
                  <wps:wsp>
                    <wps:cNvSpPr/>
                    <wps:cNvPr id="7" name="Shape 7"/>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b" bIns="19050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1714500</wp:posOffset>
              </wp:positionH>
              <wp:positionV relativeFrom="paragraph">
                <wp:posOffset>0</wp:posOffset>
              </wp:positionV>
              <wp:extent cx="453390" cy="453390"/>
              <wp:effectExtent b="0" l="0" r="0" t="0"/>
              <wp:wrapNone/>
              <wp:docPr descr="OFFICIAL" id="1717887952" name="image7.png"/>
              <a:graphic>
                <a:graphicData uri="http://schemas.openxmlformats.org/drawingml/2006/picture">
                  <pic:pic>
                    <pic:nvPicPr>
                      <pic:cNvPr descr="OFFICIAL" id="0" name="image7.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360" w:firstLine="0"/>
      <w:jc w:val="left"/>
      <w:rPr>
        <w:rFonts w:ascii="Poppins" w:cs="Poppins" w:eastAsia="Poppins" w:hAnsi="Poppins"/>
        <w:b w:val="0"/>
        <w:i w:val="0"/>
        <w:smallCaps w:val="0"/>
        <w:strike w:val="0"/>
        <w:color w:val="000000"/>
        <w:sz w:val="18"/>
        <w:szCs w:val="1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id="1717887949" name=""/>
              <a:graphic>
                <a:graphicData uri="http://schemas.microsoft.com/office/word/2010/wordprocessingShape">
                  <wps:wsp>
                    <wps:cNvSpPr/>
                    <wps:cNvPr id="4" name="Shape 4"/>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id="1717887949" name="image4.png"/>
              <a:graphic>
                <a:graphicData uri="http://schemas.openxmlformats.org/drawingml/2006/picture">
                  <pic:pic>
                    <pic:nvPicPr>
                      <pic:cNvPr descr="OFFICIAL"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id="1717887950" name=""/>
              <a:graphic>
                <a:graphicData uri="http://schemas.microsoft.com/office/word/2010/wordprocessingShape">
                  <wps:wsp>
                    <wps:cNvSpPr/>
                    <wps:cNvPr id="5" name="Shape 5"/>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id="1717887950" name="image5.png"/>
              <a:graphic>
                <a:graphicData uri="http://schemas.openxmlformats.org/drawingml/2006/picture">
                  <pic:pic>
                    <pic:nvPicPr>
                      <pic:cNvPr descr="OFFICIAL"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228600" distT="228600" distL="228600" distR="228600" hidden="0" layoutInCell="1" locked="0" relativeHeight="0" simplePos="0">
          <wp:simplePos x="0" y="0"/>
          <wp:positionH relativeFrom="page">
            <wp:posOffset>6213475</wp:posOffset>
          </wp:positionH>
          <wp:positionV relativeFrom="page">
            <wp:posOffset>406400</wp:posOffset>
          </wp:positionV>
          <wp:extent cx="851535" cy="268605"/>
          <wp:effectExtent b="0" l="0" r="0" t="0"/>
          <wp:wrapTopAndBottom distB="228600" distT="228600"/>
          <wp:docPr descr="A close-up of a logo&#10;&#10;Description automatically generated" id="1717887954" name="image1.png"/>
          <a:graphic>
            <a:graphicData uri="http://schemas.openxmlformats.org/drawingml/2006/picture">
              <pic:pic>
                <pic:nvPicPr>
                  <pic:cNvPr descr="A close-up of a logo&#10;&#10;Description automatically generated" id="0" name="image1.png"/>
                  <pic:cNvPicPr preferRelativeResize="0"/>
                </pic:nvPicPr>
                <pic:blipFill>
                  <a:blip r:embed="rId2"/>
                  <a:srcRect b="0" l="0" r="0" t="0"/>
                  <a:stretch>
                    <a:fillRect/>
                  </a:stretch>
                </pic:blipFill>
                <pic:spPr>
                  <a:xfrm>
                    <a:off x="0" y="0"/>
                    <a:ext cx="851535" cy="268605"/>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id="1717887948" name=""/>
              <a:graphic>
                <a:graphicData uri="http://schemas.microsoft.com/office/word/2010/wordprocessingShape">
                  <wps:wsp>
                    <wps:cNvSpPr/>
                    <wps:cNvPr id="3" name="Shape 3"/>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OFFICIAL</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id="1717887948" name="image3.png"/>
              <a:graphic>
                <a:graphicData uri="http://schemas.openxmlformats.org/drawingml/2006/picture">
                  <pic:pic>
                    <pic:nvPicPr>
                      <pic:cNvPr descr="OFFICIAL" id="0" name="image3.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anchor allowOverlap="1" behindDoc="0" distB="228600" distT="228600" distL="228600" distR="228600" hidden="0" layoutInCell="1" locked="0" relativeHeight="0" simplePos="0">
          <wp:simplePos x="0" y="0"/>
          <wp:positionH relativeFrom="page">
            <wp:posOffset>5712460</wp:posOffset>
          </wp:positionH>
          <wp:positionV relativeFrom="page">
            <wp:posOffset>480059</wp:posOffset>
          </wp:positionV>
          <wp:extent cx="1395730" cy="440055"/>
          <wp:effectExtent b="0" l="0" r="0" t="0"/>
          <wp:wrapTopAndBottom distB="228600" distT="228600"/>
          <wp:docPr descr="A close-up of a logo&#10;&#10;Description automatically generated" id="1717887953" name="image1.png"/>
          <a:graphic>
            <a:graphicData uri="http://schemas.openxmlformats.org/drawingml/2006/picture">
              <pic:pic>
                <pic:nvPicPr>
                  <pic:cNvPr descr="A close-up of a logo&#10;&#10;Description automatically generated" id="0" name="image1.png"/>
                  <pic:cNvPicPr preferRelativeResize="0"/>
                </pic:nvPicPr>
                <pic:blipFill>
                  <a:blip r:embed="rId2"/>
                  <a:srcRect b="0" l="0" r="0" t="0"/>
                  <a:stretch>
                    <a:fillRect/>
                  </a:stretch>
                </pic:blipFill>
                <pic:spPr>
                  <a:xfrm>
                    <a:off x="0" y="0"/>
                    <a:ext cx="1395730" cy="44005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pPr>
      <w:spacing w:line="276" w:lineRule="auto"/>
    </w:pPr>
    <w:rPr>
      <w:sz w:val="22"/>
      <w:szCs w:val="22"/>
      <w:lang w:eastAsia="en-US" w:val="en"/>
    </w:rPr>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2" w:customStyle="1">
    <w:name w:val="2"/>
    <w:basedOn w:val="TableNormal"/>
    <w:tblPr>
      <w:tblStyleRowBandSize w:val="1"/>
      <w:tblStyleColBandSize w:val="1"/>
      <w:tblCellMar>
        <w:top w:w="100.0" w:type="dxa"/>
        <w:left w:w="100.0" w:type="dxa"/>
        <w:bottom w:w="100.0" w:type="dxa"/>
        <w:right w:w="100.0" w:type="dxa"/>
      </w:tblCellMar>
    </w:tblPr>
  </w:style>
  <w:style w:type="table" w:styleId="1" w:customStyle="1">
    <w:name w:val="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3D5D28"/>
    <w:pPr>
      <w:tabs>
        <w:tab w:val="center" w:pos="4680"/>
        <w:tab w:val="right" w:pos="9360"/>
      </w:tabs>
      <w:spacing w:line="240" w:lineRule="auto"/>
    </w:pPr>
  </w:style>
  <w:style w:type="character" w:styleId="HeaderChar" w:customStyle="1">
    <w:name w:val="Header Char"/>
    <w:basedOn w:val="DefaultParagraphFont"/>
    <w:link w:val="Header"/>
    <w:uiPriority w:val="99"/>
    <w:rsid w:val="003D5D28"/>
  </w:style>
  <w:style w:type="paragraph" w:styleId="Footer">
    <w:name w:val="footer"/>
    <w:basedOn w:val="Normal"/>
    <w:link w:val="FooterChar"/>
    <w:uiPriority w:val="99"/>
    <w:unhideWhenUsed w:val="1"/>
    <w:rsid w:val="003D5D28"/>
    <w:pPr>
      <w:tabs>
        <w:tab w:val="center" w:pos="4680"/>
        <w:tab w:val="right" w:pos="9360"/>
      </w:tabs>
      <w:spacing w:line="240" w:lineRule="auto"/>
    </w:pPr>
  </w:style>
  <w:style w:type="character" w:styleId="FooterChar" w:customStyle="1">
    <w:name w:val="Footer Char"/>
    <w:basedOn w:val="DefaultParagraphFont"/>
    <w:link w:val="Footer"/>
    <w:uiPriority w:val="99"/>
    <w:rsid w:val="003D5D28"/>
  </w:style>
  <w:style w:type="character" w:styleId="PageNumber">
    <w:name w:val="page number"/>
    <w:basedOn w:val="DefaultParagraphFont"/>
    <w:uiPriority w:val="99"/>
    <w:semiHidden w:val="1"/>
    <w:unhideWhenUsed w:val="1"/>
    <w:rsid w:val="003D5D28"/>
  </w:style>
  <w:style w:type="paragraph" w:styleId="ListParagraph">
    <w:name w:val="List Paragraph"/>
    <w:basedOn w:val="Normal"/>
    <w:uiPriority w:val="34"/>
    <w:qFormat w:val="1"/>
    <w:rsid w:val="003D5D28"/>
    <w:pPr>
      <w:ind w:left="720"/>
      <w:contextualSpacing w:val="1"/>
    </w:pPr>
  </w:style>
  <w:style w:type="table" w:styleId="TableGrid">
    <w:name w:val="Table Grid"/>
    <w:basedOn w:val="TableNormal"/>
    <w:uiPriority w:val="39"/>
    <w:rsid w:val="000A7A7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PlainTable1">
    <w:name w:val="Plain Table 1"/>
    <w:basedOn w:val="TableNormal"/>
    <w:uiPriority w:val="41"/>
    <w:rsid w:val="00603B3A"/>
    <w:tblPr>
      <w:tblStyleRowBandSize w:val="1"/>
      <w:tblStyleColBandSize w:val="1"/>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Pr>
    <w:tblStylePr w:type="firstRow">
      <w:rPr>
        <w:b w:val="1"/>
        <w:bCs w:val="1"/>
      </w:rPr>
    </w:tblStylePr>
    <w:tblStylePr w:type="lastRow">
      <w:rPr>
        <w:b w:val="1"/>
        <w:bCs w:val="1"/>
      </w:rPr>
      <w:tblPr/>
      <w:tcPr>
        <w:tcBorders>
          <w:top w:color="bfbfbf" w:space="0" w:sz="4" w:val="double"/>
        </w:tcBorders>
      </w:tcPr>
    </w:tblStylePr>
    <w:tblStylePr w:type="firstCol">
      <w:rPr>
        <w:b w:val="1"/>
        <w:bCs w:val="1"/>
      </w:rPr>
    </w:tblStylePr>
    <w:tblStylePr w:type="lastCol">
      <w:rPr>
        <w:b w:val="1"/>
        <w:bCs w:val="1"/>
      </w:rPr>
    </w:tblStylePr>
    <w:tblStylePr w:type="band1Vert">
      <w:tblPr/>
      <w:tcPr>
        <w:shd w:color="auto" w:fill="f2f2f2" w:val="clear"/>
      </w:tcPr>
    </w:tblStylePr>
    <w:tblStylePr w:type="band1Horz">
      <w:tblPr/>
      <w:tcPr>
        <w:shd w:color="auto" w:fill="f2f2f2" w:val="clear"/>
      </w:tcPr>
    </w:tblStylePr>
  </w:style>
  <w:style w:type="numbering" w:styleId="CurrentList1" w:customStyle="1">
    <w:name w:val="Current List1"/>
    <w:uiPriority w:val="99"/>
    <w:rsid w:val="002A0355"/>
    <w:pPr>
      <w:numPr>
        <w:numId w:val="2"/>
      </w:numPr>
    </w:pPr>
  </w:style>
  <w:style w:type="character" w:styleId="Hyperlink">
    <w:name w:val="Hyperlink"/>
    <w:uiPriority w:val="99"/>
    <w:unhideWhenUsed w:val="1"/>
    <w:rsid w:val="0005685B"/>
    <w:rPr>
      <w:color w:val="467886"/>
      <w:u w:val="single"/>
    </w:rPr>
  </w:style>
  <w:style w:type="paragraph" w:styleId="dcr-4cudl2" w:customStyle="1">
    <w:name w:val="dcr-4cudl2"/>
    <w:basedOn w:val="Normal"/>
    <w:rsid w:val="0005685B"/>
    <w:pPr>
      <w:spacing w:after="100" w:afterAutospacing="1" w:before="100" w:beforeAutospacing="1" w:line="240" w:lineRule="auto"/>
    </w:pPr>
    <w:rPr>
      <w:rFonts w:ascii="Aptos" w:cs="Aptos" w:eastAsia="Calibri" w:hAnsi="Aptos"/>
      <w:sz w:val="24"/>
      <w:szCs w:val="24"/>
      <w:lang w:val="en-US"/>
    </w:rPr>
  </w:style>
  <w:style w:type="character" w:styleId="UnresolvedMention">
    <w:name w:val="Unresolved Mention"/>
    <w:uiPriority w:val="99"/>
    <w:semiHidden w:val="1"/>
    <w:unhideWhenUsed w:val="1"/>
    <w:rsid w:val="008450C2"/>
    <w:rPr>
      <w:color w:val="605e5c"/>
      <w:shd w:color="auto" w:fill="e1dfdd" w:val="clear"/>
    </w:rPr>
  </w:style>
  <w:style w:type="paragraph" w:styleId="xmsonormal" w:customStyle="1">
    <w:name w:val="x_msonormal"/>
    <w:basedOn w:val="Normal"/>
    <w:rsid w:val="00C73C12"/>
    <w:pPr>
      <w:spacing w:line="240" w:lineRule="auto"/>
    </w:pPr>
    <w:rPr>
      <w:rFonts w:ascii="Calibri" w:cs="Calibri" w:eastAsia="Calibri" w:hAnsi="Calibri"/>
      <w:lang w:eastAsia="en-GB" w:val="en-GB"/>
    </w:rPr>
  </w:style>
  <w:style w:type="paragraph" w:styleId="Revision">
    <w:name w:val="Revision"/>
    <w:hidden w:val="1"/>
    <w:uiPriority w:val="99"/>
    <w:semiHidden w:val="1"/>
    <w:rsid w:val="0009169F"/>
    <w:rPr>
      <w:sz w:val="22"/>
      <w:szCs w:val="22"/>
      <w:lang w:eastAsia="en-US" w:val="en"/>
    </w:rPr>
  </w:style>
  <w:style w:type="character" w:styleId="CommentReference">
    <w:name w:val="annotation reference"/>
    <w:uiPriority w:val="99"/>
    <w:semiHidden w:val="1"/>
    <w:unhideWhenUsed w:val="1"/>
    <w:rsid w:val="00735870"/>
    <w:rPr>
      <w:sz w:val="16"/>
      <w:szCs w:val="16"/>
    </w:rPr>
  </w:style>
  <w:style w:type="paragraph" w:styleId="CommentText">
    <w:name w:val="annotation text"/>
    <w:basedOn w:val="Normal"/>
    <w:link w:val="CommentTextChar"/>
    <w:uiPriority w:val="99"/>
    <w:unhideWhenUsed w:val="1"/>
    <w:rsid w:val="00735870"/>
    <w:rPr>
      <w:sz w:val="20"/>
      <w:szCs w:val="20"/>
    </w:rPr>
  </w:style>
  <w:style w:type="character" w:styleId="CommentTextChar" w:customStyle="1">
    <w:name w:val="Comment Text Char"/>
    <w:link w:val="CommentText"/>
    <w:uiPriority w:val="99"/>
    <w:rsid w:val="00735870"/>
    <w:rPr>
      <w:lang w:val="en"/>
    </w:rPr>
  </w:style>
  <w:style w:type="paragraph" w:styleId="CommentSubject">
    <w:name w:val="annotation subject"/>
    <w:basedOn w:val="CommentText"/>
    <w:next w:val="CommentText"/>
    <w:link w:val="CommentSubjectChar"/>
    <w:uiPriority w:val="99"/>
    <w:semiHidden w:val="1"/>
    <w:unhideWhenUsed w:val="1"/>
    <w:rsid w:val="00735870"/>
    <w:rPr>
      <w:b w:val="1"/>
      <w:bCs w:val="1"/>
    </w:rPr>
  </w:style>
  <w:style w:type="character" w:styleId="CommentSubjectChar" w:customStyle="1">
    <w:name w:val="Comment Subject Char"/>
    <w:link w:val="CommentSubject"/>
    <w:uiPriority w:val="99"/>
    <w:semiHidden w:val="1"/>
    <w:rsid w:val="00735870"/>
    <w:rPr>
      <w:b w:val="1"/>
      <w:bCs w:val="1"/>
      <w:lang w:val="en"/>
    </w:rPr>
  </w:style>
  <w:style w:type="paragraph" w:styleId="pf0" w:customStyle="1">
    <w:name w:val="pf0"/>
    <w:basedOn w:val="Normal"/>
    <w:rsid w:val="00CB48FF"/>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cf01" w:customStyle="1">
    <w:name w:val="cf01"/>
    <w:rsid w:val="00CB48FF"/>
    <w:rPr>
      <w:rFonts w:ascii="Segoe UI" w:cs="Segoe UI" w:hAnsi="Segoe UI" w:hint="default"/>
      <w:sz w:val="18"/>
      <w:szCs w:val="18"/>
    </w:rPr>
  </w:style>
  <w:style w:type="paragraph" w:styleId="NormalWeb">
    <w:name w:val="Normal (Web)"/>
    <w:basedOn w:val="Normal"/>
    <w:uiPriority w:val="99"/>
    <w:unhideWhenUsed w:val="1"/>
    <w:rsid w:val="004F0AC2"/>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FootnoteText">
    <w:name w:val="footnote text"/>
    <w:aliases w:val="footnote text,Footnote Text Char Char Char,single space,fn,FOOTNOTES,Footnote ak,Footnotes Char,Footnote ak Char,ft,fn cafc,Footnotes Char Char,Footnote Text Char Char,fn Char Char,footnote text Char Char Char Ch,Geneva 9,ALTS FOOTNOTE,ADB"/>
    <w:basedOn w:val="Normal"/>
    <w:link w:val="FootnoteTextChar"/>
    <w:uiPriority w:val="99"/>
    <w:unhideWhenUsed w:val="1"/>
    <w:qFormat w:val="1"/>
    <w:rsid w:val="00474106"/>
    <w:rPr>
      <w:sz w:val="20"/>
      <w:szCs w:val="20"/>
    </w:rPr>
  </w:style>
  <w:style w:type="character" w:styleId="FootnoteTextChar" w:customStyle="1">
    <w:name w:val="Footnote Text Char"/>
    <w:aliases w:val="footnote text Char,Footnote Text Char Char Char Char,single space Char,fn Char,FOOTNOTES Char,Footnote ak Char1,Footnotes Char Char1,Footnote ak Char Char,ft Char,fn cafc Char,Footnotes Char Char Char,Footnote Text Char Char Char1"/>
    <w:link w:val="FootnoteText"/>
    <w:uiPriority w:val="99"/>
    <w:qFormat w:val="1"/>
    <w:rsid w:val="00474106"/>
    <w:rPr>
      <w:lang w:val="en"/>
    </w:rPr>
  </w:style>
  <w:style w:type="character" w:styleId="FootnoteReference">
    <w:name w:val="footnote reference"/>
    <w:aliases w:val="referencia nota al pie,Fußnotenzeichen DISS,ftref,Footnote Reference1,Ref,de nota al pie,16 Point,Superscript 6 Point,Знак сноски 1,Footnote Reference/,Footnote Reference Number,BVI fnr,ESPON Footnote No,Footnote text, BVI fnr,fr,R,f"/>
    <w:link w:val="BVIfnrCarCarCarCarChar"/>
    <w:uiPriority w:val="99"/>
    <w:unhideWhenUsed w:val="1"/>
    <w:qFormat w:val="1"/>
    <w:rsid w:val="00474106"/>
    <w:rPr>
      <w:vertAlign w:val="superscript"/>
    </w:rPr>
  </w:style>
  <w:style w:type="paragraph" w:styleId="BVIfnrCarCarCarCarChar" w:customStyle="1">
    <w:name w:val="BVI fnr Car Car Car Car Char"/>
    <w:aliases w:val="BVI fnr Car Car,BVI fnr Car, BVI fnr Car Car Car Car Char"/>
    <w:basedOn w:val="Normal"/>
    <w:link w:val="FootnoteReference"/>
    <w:uiPriority w:val="99"/>
    <w:rsid w:val="00977847"/>
    <w:pPr>
      <w:numPr>
        <w:numId w:val="22"/>
      </w:numPr>
      <w:tabs>
        <w:tab w:val="num" w:pos="360"/>
      </w:tabs>
      <w:spacing w:line="240" w:lineRule="auto"/>
      <w:ind w:left="0" w:firstLine="0"/>
    </w:pPr>
    <w:rPr>
      <w:sz w:val="20"/>
      <w:szCs w:val="20"/>
      <w:vertAlign w:val="superscript"/>
      <w:lang w:eastAsia="en-GB" w:val="en-GB"/>
    </w:rPr>
  </w:style>
  <w:style w:type="character" w:styleId="ui-provider" w:customStyle="1">
    <w:name w:val="ui-provider"/>
    <w:basedOn w:val="DefaultParagraphFont"/>
    <w:rsid w:val="00EE3269"/>
  </w:style>
  <w:style w:type="character" w:styleId="Strong">
    <w:name w:val="Strong"/>
    <w:basedOn w:val="DefaultParagraphFont"/>
    <w:uiPriority w:val="22"/>
    <w:qFormat w:val="1"/>
    <w:rsid w:val="00206FF4"/>
    <w:rPr>
      <w:b w:val="1"/>
      <w:bCs w:val="1"/>
    </w:rPr>
  </w:style>
  <w:style w:type="paragraph" w:styleId="Default" w:customStyle="1">
    <w:name w:val="Default"/>
    <w:rsid w:val="00B46674"/>
    <w:pPr>
      <w:autoSpaceDE w:val="0"/>
      <w:autoSpaceDN w:val="0"/>
      <w:adjustRightInd w:val="0"/>
    </w:pPr>
    <w:rPr>
      <w:rFonts w:eastAsiaTheme="minorHAnsi"/>
      <w:color w:val="000000"/>
      <w:sz w:val="24"/>
      <w:szCs w:val="24"/>
      <w:lang w:eastAsia="en-US" w:val="en-US"/>
    </w:rPr>
  </w:style>
  <w:style w:type="character" w:styleId="Emphasis">
    <w:name w:val="Emphasis"/>
    <w:basedOn w:val="DefaultParagraphFont"/>
    <w:uiPriority w:val="20"/>
    <w:qFormat w:val="1"/>
    <w:rsid w:val="00456708"/>
    <w:rPr>
      <w:i w:val="1"/>
      <w:iCs w:val="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planusa.org/projects/nigeria-opportunities-to-learn/"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regular.ttf"/><Relationship Id="rId11" Type="http://schemas.openxmlformats.org/officeDocument/2006/relationships/font" Target="fonts/PoppinsMedium-bold.ttf"/><Relationship Id="rId22" Type="http://schemas.openxmlformats.org/officeDocument/2006/relationships/font" Target="fonts/PoppinsSemiBold-italic.ttf"/><Relationship Id="rId10" Type="http://schemas.openxmlformats.org/officeDocument/2006/relationships/font" Target="fonts/PoppinsMedium-regular.ttf"/><Relationship Id="rId21" Type="http://schemas.openxmlformats.org/officeDocument/2006/relationships/font" Target="fonts/PoppinsSemiBold-bold.ttf"/><Relationship Id="rId13" Type="http://schemas.openxmlformats.org/officeDocument/2006/relationships/font" Target="fonts/PoppinsMedium-boldItalic.ttf"/><Relationship Id="rId12" Type="http://schemas.openxmlformats.org/officeDocument/2006/relationships/font" Target="fonts/PoppinsMedium-italic.ttf"/><Relationship Id="rId23" Type="http://schemas.openxmlformats.org/officeDocument/2006/relationships/font" Target="fonts/PoppinsSemiBold-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Light-boldItalic.ttf"/><Relationship Id="rId15" Type="http://schemas.openxmlformats.org/officeDocument/2006/relationships/font" Target="fonts/QuattrocentoSans-bold.ttf"/><Relationship Id="rId14" Type="http://schemas.openxmlformats.org/officeDocument/2006/relationships/font" Target="fonts/QuattrocentoSans-regular.ttf"/><Relationship Id="rId17" Type="http://schemas.openxmlformats.org/officeDocument/2006/relationships/font" Target="fonts/QuattrocentoSans-boldItalic.ttf"/><Relationship Id="rId16" Type="http://schemas.openxmlformats.org/officeDocument/2006/relationships/font" Target="fonts/QuattrocentoSans-italic.ttf"/><Relationship Id="rId5" Type="http://schemas.openxmlformats.org/officeDocument/2006/relationships/font" Target="fonts/BebasNeue-regular.ttf"/><Relationship Id="rId19" Type="http://schemas.openxmlformats.org/officeDocument/2006/relationships/font" Target="fonts/NotoSansSymbols-bold.ttf"/><Relationship Id="rId6" Type="http://schemas.openxmlformats.org/officeDocument/2006/relationships/font" Target="fonts/PoppinsLight-regular.ttf"/><Relationship Id="rId18" Type="http://schemas.openxmlformats.org/officeDocument/2006/relationships/font" Target="fonts/NotoSansSymbols-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wJpwL3qtFX9vAdr3jExs+Z8FNw==">CgMxLjA4AHIhMVRpbVowN2pQYlhZUWRVQVpJZmw2WnVqVmNOVlg2ckRr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2024-07-16T13:51:00Z</dcterms:created>
  <dc:creator>Katrine Guzman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0x010100D915E1343B28B34885B685A15681DBD2</vt:lpwstr>
  </property>
  <property fmtid="{D5CDD505-2E9C-101B-9397-08002B2CF9AE}" pid="3" name="ClassificationContentMarkingHeaderShapeIds">
    <vt:lpwstr>eb26ba6,376d9531,6664e3ca</vt:lpwstr>
  </property>
  <property fmtid="{D5CDD505-2E9C-101B-9397-08002B2CF9AE}" pid="4" name="ClassificationContentMarkingHeaderFontProps">
    <vt:lpwstr>#000000,10,Calibri</vt:lpwstr>
  </property>
  <property fmtid="{D5CDD505-2E9C-101B-9397-08002B2CF9AE}" pid="5" name="ClassificationContentMarkingHeaderText">
    <vt:lpwstr>OFFICIAL</vt:lpwstr>
  </property>
  <property fmtid="{D5CDD505-2E9C-101B-9397-08002B2CF9AE}" pid="6" name="ClassificationContentMarkingFooterShapeIds">
    <vt:lpwstr>409bfa10,1050cf86,20974111</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ies>
</file>